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right"/>
        <w:rPr>
          <w:rFonts w:ascii="Corbel" w:hAnsi="Corbel"/>
          <w:bCs/>
          <w:i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ab/>
        <w:tab/>
        <w:tab/>
        <w:tab/>
        <w:tab/>
        <w:tab/>
      </w:r>
      <w:r>
        <w:rPr>
          <w:rFonts w:ascii="Corbel" w:hAnsi="Corbel"/>
          <w:bCs/>
          <w:i/>
        </w:rPr>
        <w:t>Załącznik nr 1.5 do Zarządzenia Rektora UR  nr 12/2019</w:t>
      </w:r>
    </w:p>
    <w:p>
      <w:pPr>
        <w:pStyle w:val="Normal"/>
        <w:spacing w:lineRule="auto" w:line="240" w:before="0" w:after="0"/>
        <w:jc w:val="center"/>
        <w:rPr>
          <w:rFonts w:ascii="Corbel" w:hAnsi="Corbel"/>
          <w:b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b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>...........................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/>
      </w:pPr>
      <w:r>
        <w:rPr>
          <w:rFonts w:ascii="Corbel" w:hAnsi="Corbel"/>
          <w:sz w:val="20"/>
          <w:szCs w:val="20"/>
        </w:rPr>
        <w:tab/>
        <w:tab/>
        <w:tab/>
        <w:tab/>
        <w:t xml:space="preserve">Rok akademicki   </w:t>
      </w:r>
      <w:r>
        <w:rPr>
          <w:rFonts w:ascii="Corbel" w:hAnsi="Corbel"/>
          <w:sz w:val="20"/>
          <w:szCs w:val="20"/>
        </w:rPr>
        <w:t>202</w:t>
      </w:r>
      <w:r>
        <w:rPr>
          <w:rFonts w:ascii="Corbel" w:hAnsi="Corbel"/>
          <w:sz w:val="20"/>
          <w:szCs w:val="20"/>
        </w:rPr>
        <w:t>2</w:t>
      </w:r>
      <w:r>
        <w:rPr>
          <w:rFonts w:ascii="Corbel" w:hAnsi="Corbel"/>
          <w:sz w:val="20"/>
          <w:szCs w:val="20"/>
        </w:rPr>
        <w:t>/2</w:t>
      </w:r>
      <w:r>
        <w:rPr>
          <w:rFonts w:ascii="Corbel" w:hAnsi="Corbel"/>
          <w:sz w:val="20"/>
          <w:szCs w:val="20"/>
        </w:rPr>
        <w:t>3</w:t>
      </w:r>
    </w:p>
    <w:p>
      <w:pPr>
        <w:pStyle w:val="Normal"/>
        <w:spacing w:lineRule="auto" w:line="240" w:before="0" w:after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lef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693"/>
        <w:gridCol w:w="7087"/>
      </w:tblGrid>
      <w:tr>
        <w:trPr/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Odpowiedzi"/>
              <w:spacing w:beforeAutospacing="1" w:afterAutospacing="1"/>
              <w:rPr/>
            </w:pPr>
            <w:r>
              <w:rPr/>
              <w:t>Główne źródła barier w komunikacji międzykulturowej</w:t>
            </w:r>
          </w:p>
          <w:p>
            <w:pPr>
              <w:pStyle w:val="Odpowiedzi"/>
              <w:spacing w:beforeAutospacing="1" w:afterAutospacing="1"/>
              <w:rPr>
                <w:rFonts w:ascii="Corbel" w:hAnsi="Corbel"/>
                <w:b w:val="false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Odpowiedzi"/>
              <w:spacing w:beforeAutospacing="1" w:afterAutospacing="1"/>
              <w:rPr>
                <w:rFonts w:ascii="Corbel" w:hAnsi="Corbel"/>
                <w:b w:val="false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KM52</w:t>
            </w:r>
          </w:p>
        </w:tc>
      </w:tr>
      <w:tr>
        <w:trPr/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ytania"/>
              <w:spacing w:lineRule="exact" w:line="240"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Odpowiedzi"/>
              <w:snapToGrid w:val="false"/>
              <w:spacing w:before="40" w:after="40"/>
              <w:rPr>
                <w:rFonts w:ascii="Corbel" w:hAnsi="Corbel" w:cs="Corbel"/>
                <w:b w:val="false"/>
                <w:b w:val="false"/>
                <w:sz w:val="22"/>
                <w:szCs w:val="24"/>
              </w:rPr>
            </w:pPr>
            <w:r>
              <w:rPr>
                <w:rFonts w:cs="Corbel" w:ascii="Corbel" w:hAnsi="Corbel"/>
                <w:b w:val="false"/>
                <w:sz w:val="22"/>
                <w:szCs w:val="24"/>
              </w:rPr>
              <w:t>Kolegium Humanistyczne</w:t>
            </w:r>
          </w:p>
        </w:tc>
      </w:tr>
      <w:tr>
        <w:trPr/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Odpowiedzi"/>
              <w:spacing w:beforeAutospacing="1" w:afterAutospacing="1"/>
              <w:rPr>
                <w:rFonts w:ascii="Corbel" w:hAnsi="Corbel"/>
                <w:b w:val="false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Filozofii</w:t>
            </w:r>
          </w:p>
        </w:tc>
      </w:tr>
      <w:tr>
        <w:trPr/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Odpowiedzi"/>
              <w:spacing w:beforeAutospacing="1" w:afterAutospacing="1"/>
              <w:rPr>
                <w:rFonts w:ascii="Corbel" w:hAnsi="Corbel"/>
                <w:b w:val="false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Komunikacja miedzykulturowa</w:t>
            </w:r>
          </w:p>
        </w:tc>
      </w:tr>
      <w:tr>
        <w:trPr/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Odpowiedzi"/>
              <w:spacing w:beforeAutospacing="1" w:afterAutospacing="1"/>
              <w:rPr>
                <w:rFonts w:ascii="Corbel" w:hAnsi="Corbel"/>
                <w:b w:val="false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podstawowy</w:t>
            </w:r>
          </w:p>
        </w:tc>
      </w:tr>
      <w:tr>
        <w:trPr/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Odpowiedzi"/>
              <w:spacing w:beforeAutospacing="1" w:afterAutospacing="1"/>
              <w:rPr>
                <w:rFonts w:ascii="Corbel" w:hAnsi="Corbel"/>
                <w:b w:val="false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ogólnoakademicki</w:t>
            </w:r>
          </w:p>
        </w:tc>
      </w:tr>
      <w:tr>
        <w:trPr/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Odpowiedzi"/>
              <w:spacing w:beforeAutospacing="1" w:afterAutospacing="1"/>
              <w:rPr>
                <w:rFonts w:ascii="Corbel" w:hAnsi="Corbel"/>
                <w:b w:val="false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stacjonarne</w:t>
            </w:r>
          </w:p>
        </w:tc>
      </w:tr>
      <w:tr>
        <w:trPr/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Odpowiedzi"/>
              <w:spacing w:beforeAutospacing="1" w:afterAutospacing="1"/>
              <w:rPr>
                <w:rFonts w:ascii="Corbel" w:hAnsi="Corbel"/>
                <w:b w:val="false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II</w:t>
            </w:r>
            <w:r>
              <w:rPr>
                <w:rFonts w:ascii="Corbel" w:hAnsi="Corbel"/>
                <w:b w:val="false"/>
                <w:sz w:val="24"/>
                <w:szCs w:val="24"/>
              </w:rPr>
              <w:t>I</w:t>
            </w:r>
            <w:r>
              <w:rPr>
                <w:rFonts w:ascii="Corbel" w:hAnsi="Corbel"/>
                <w:b w:val="false"/>
                <w:sz w:val="24"/>
                <w:szCs w:val="24"/>
              </w:rPr>
              <w:t>/</w:t>
            </w:r>
            <w:r>
              <w:rPr>
                <w:rFonts w:ascii="Corbel" w:hAnsi="Corbel"/>
                <w:b w:val="false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Odpowiedzi"/>
              <w:spacing w:beforeAutospacing="1" w:afterAutospacing="1"/>
              <w:rPr>
                <w:rFonts w:ascii="Corbel" w:hAnsi="Corbel"/>
                <w:b w:val="false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fakultatywny</w:t>
            </w:r>
          </w:p>
        </w:tc>
      </w:tr>
      <w:tr>
        <w:trPr/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Odpowiedzi"/>
              <w:spacing w:beforeAutospacing="1" w:afterAutospacing="1"/>
              <w:rPr>
                <w:rFonts w:ascii="Corbel" w:hAnsi="Corbel"/>
                <w:b w:val="false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Polski (angielski)</w:t>
            </w:r>
          </w:p>
        </w:tc>
      </w:tr>
      <w:tr>
        <w:trPr/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Odpowiedzi"/>
              <w:spacing w:beforeAutospacing="1" w:afterAutospacing="1"/>
              <w:rPr>
                <w:rFonts w:ascii="Corbel" w:hAnsi="Corbel"/>
                <w:b w:val="false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Adam Kubiak</w:t>
            </w:r>
          </w:p>
        </w:tc>
      </w:tr>
      <w:tr>
        <w:trPr/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ytania"/>
              <w:spacing w:beforeAutospacing="1" w:afterAutospacing="1"/>
              <w:jc w:val="left"/>
              <w:rPr/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Odpowiedzi"/>
              <w:spacing w:beforeAutospacing="1" w:afterAutospacing="1"/>
              <w:rPr>
                <w:rFonts w:ascii="Corbel" w:hAnsi="Corbel"/>
                <w:b w:val="false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Adam Kubiak</w:t>
            </w:r>
          </w:p>
        </w:tc>
      </w:tr>
    </w:tbl>
    <w:p>
      <w:pPr>
        <w:pStyle w:val="Podpunkty"/>
        <w:spacing w:beforeAutospacing="1" w:afterAutospacing="1"/>
        <w:ind w:left="0" w:hanging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left="0" w:hanging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left="284" w:hanging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left="0" w:hanging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628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048"/>
        <w:gridCol w:w="913"/>
        <w:gridCol w:w="788"/>
        <w:gridCol w:w="851"/>
        <w:gridCol w:w="801"/>
        <w:gridCol w:w="822"/>
        <w:gridCol w:w="763"/>
        <w:gridCol w:w="949"/>
        <w:gridCol w:w="1189"/>
        <w:gridCol w:w="1503"/>
      </w:tblGrid>
      <w:tr>
        <w:trPr/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>
        <w:trPr>
          <w:trHeight w:val="453" w:hRule="atLeast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</w:tr>
    </w:tbl>
    <w:p>
      <w:pPr>
        <w:pStyle w:val="Podpunkty"/>
        <w:ind w:left="0" w:hanging="0"/>
        <w:rPr>
          <w:rFonts w:ascii="Corbel" w:hAnsi="Corbel"/>
          <w:b w:val="false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/>
          <w:b w:val="false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left" w:pos="709" w:leader="none"/>
        </w:tabs>
        <w:spacing w:before="0" w:after="0"/>
        <w:ind w:left="284" w:hanging="0"/>
        <w:rPr>
          <w:rFonts w:ascii="Corbel" w:hAnsi="Corbel"/>
          <w:b w:val="false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left="709" w:hanging="0"/>
        <w:rPr>
          <w:rFonts w:ascii="Corbel" w:hAnsi="Corbel"/>
          <w:b w:val="false"/>
          <w:b w:val="false"/>
          <w:caps w:val="false"/>
          <w:smallCaps w:val="false"/>
          <w:szCs w:val="24"/>
        </w:rPr>
      </w:pPr>
      <w:r>
        <w:rPr>
          <w:rFonts w:eastAsia="MS Gothic" w:cs="MS Gothic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 xml:space="preserve">zajęcia w formie tradycyjnej </w:t>
      </w:r>
    </w:p>
    <w:p>
      <w:pPr>
        <w:pStyle w:val="Punktygwne"/>
        <w:spacing w:before="0" w:after="0"/>
        <w:ind w:left="709" w:hanging="0"/>
        <w:rPr>
          <w:rFonts w:ascii="Corbel" w:hAnsi="Corbel"/>
          <w:b w:val="false"/>
          <w:b w:val="false"/>
          <w:caps w:val="false"/>
          <w:smallCaps w:val="false"/>
          <w:szCs w:val="24"/>
        </w:rPr>
      </w:pPr>
      <w:r>
        <w:rPr>
          <w:rFonts w:eastAsia="MS Gothic" w:cs="MS Gothic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left" w:pos="709" w:leader="none"/>
        </w:tabs>
        <w:spacing w:before="0" w:after="0"/>
        <w:ind w:left="709" w:hanging="425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(egzamin, </w:t>
      </w:r>
      <w:r>
        <w:rPr>
          <w:rFonts w:ascii="Corbel" w:hAnsi="Corbel"/>
          <w:b w:val="false"/>
          <w:caps w:val="false"/>
          <w:smallCaps w:val="false"/>
          <w:szCs w:val="24"/>
          <w:u w:val="single"/>
        </w:rPr>
        <w:t>zaliczenie z oceną</w:t>
      </w:r>
      <w:r>
        <w:rPr>
          <w:rFonts w:ascii="Corbel" w:hAnsi="Corbel"/>
          <w:b w:val="false"/>
          <w:caps w:val="false"/>
          <w:smallCaps w:val="false"/>
          <w:szCs w:val="24"/>
        </w:rPr>
        <w:t>, zaliczenie bez oceny)</w:t>
      </w:r>
    </w:p>
    <w:p>
      <w:pPr>
        <w:pStyle w:val="Punktygwne"/>
        <w:spacing w:before="0" w:after="0"/>
        <w:rPr>
          <w:rFonts w:ascii="Corbel" w:hAnsi="Corbel"/>
          <w:b w:val="false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b w:val="false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520"/>
      </w:tblGrid>
      <w:tr>
        <w:trPr/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ogólna z zakresu nauk o kulturze;</w:t>
            </w:r>
          </w:p>
          <w:p>
            <w:pPr>
              <w:pStyle w:val="Normal"/>
              <w:snapToGrid w:val="false"/>
              <w:spacing w:before="40" w:after="40"/>
              <w:rPr>
                <w:rFonts w:ascii="Corbel" w:hAnsi="Corbel" w:eastAsia="Arial CE" w:cs="Corbel"/>
                <w:b w:val="false"/>
                <w:b w:val="false"/>
                <w:bCs/>
                <w:caps w:val="false"/>
                <w:smallCaps w:val="false"/>
                <w:color w:val="000000"/>
                <w:sz w:val="24"/>
                <w:szCs w:val="24"/>
              </w:rPr>
            </w:pPr>
            <w:r>
              <w:rPr>
                <w:rFonts w:eastAsia="Arial CE" w:cs="Corbel" w:ascii="Corbel" w:hAnsi="Corbel"/>
                <w:b w:val="false"/>
                <w:bCs/>
                <w:caps w:val="false"/>
                <w:smallCaps w:val="false"/>
                <w:color w:val="000000"/>
                <w:sz w:val="24"/>
                <w:szCs w:val="24"/>
              </w:rPr>
              <w:t>Zalecana znajomość języka angielskiego na poziomie pozwalającym na lekturę tekstów w tym języku.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/>
          <w:b w:val="false"/>
          <w:b w:val="false"/>
          <w:i/>
          <w:i/>
          <w:sz w:val="24"/>
          <w:szCs w:val="24"/>
        </w:rPr>
      </w:pPr>
      <w:r>
        <w:rPr>
          <w:rFonts w:ascii="Corbel" w:hAnsi="Corbel"/>
          <w:b w:val="false"/>
          <w:i/>
          <w:sz w:val="24"/>
          <w:szCs w:val="24"/>
        </w:rPr>
      </w:r>
    </w:p>
    <w:tbl>
      <w:tblPr>
        <w:tblW w:w="9670" w:type="dxa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50"/>
        <w:gridCol w:w="8819"/>
      </w:tblGrid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odpunkty"/>
              <w:spacing w:before="40" w:after="40"/>
              <w:ind w:left="0" w:hanging="0"/>
              <w:jc w:val="left"/>
              <w:rPr>
                <w:rFonts w:ascii="Corbel" w:hAnsi="Corbel"/>
                <w:b w:val="false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TextBody"/>
              <w:snapToGrid w:val="false"/>
              <w:spacing w:before="0" w:after="200"/>
              <w:ind w:left="0" w:hanging="0"/>
              <w:jc w:val="left"/>
              <w:rPr>
                <w:rFonts w:ascii="Arial CE" w:hAnsi="Arial CE" w:eastAsia="Arial CE" w:cs="Arial CE"/>
                <w:b w:val="false"/>
                <w:b w:val="false"/>
                <w:sz w:val="20"/>
                <w:szCs w:val="20"/>
              </w:rPr>
            </w:pPr>
            <w:r>
              <w:rPr>
                <w:rFonts w:eastAsia="Arial CE" w:cs="Arial CE" w:ascii="Arial CE" w:hAnsi="Arial CE"/>
                <w:b w:val="false"/>
                <w:sz w:val="20"/>
                <w:szCs w:val="20"/>
              </w:rPr>
              <w:t xml:space="preserve">Wskazanie różnorodnych źródeł przeszkód w komunikacji międzykulturowej </w:t>
            </w:r>
            <w:r>
              <w:rPr>
                <w:rFonts w:eastAsia="Arial CE" w:cs="Arial CE" w:ascii="Arial CE" w:hAnsi="Arial CE"/>
                <w:b w:val="false"/>
                <w:sz w:val="20"/>
                <w:szCs w:val="20"/>
              </w:rPr>
              <w:t>oraz możliwych metod ich przezwyciężania (badź ustalania obszarów istotnej niezgodności)</w:t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ele"/>
              <w:spacing w:before="40" w:after="40"/>
              <w:ind w:left="0" w:hanging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odpunkty"/>
              <w:spacing w:before="40" w:after="40"/>
              <w:ind w:left="0" w:hanging="0"/>
              <w:jc w:val="left"/>
              <w:rPr>
                <w:rFonts w:ascii="Corbel" w:hAnsi="Corbel"/>
                <w:b w:val="false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odpunkty"/>
              <w:spacing w:before="40" w:after="40"/>
              <w:ind w:left="0" w:hanging="0"/>
              <w:jc w:val="left"/>
              <w:rPr>
                <w:rFonts w:ascii="Corbel" w:hAnsi="Corbel"/>
                <w:b w:val="false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Cn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odpunkty"/>
              <w:spacing w:before="40" w:after="40"/>
              <w:ind w:left="0" w:hanging="0"/>
              <w:jc w:val="left"/>
              <w:rPr>
                <w:rFonts w:ascii="Corbel" w:hAnsi="Corbel"/>
                <w:b w:val="false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left="426" w:hanging="0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>
      <w:pPr>
        <w:pStyle w:val="Normal"/>
        <w:spacing w:lineRule="auto" w:line="240" w:before="0" w:after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670" w:type="dxa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700"/>
        <w:gridCol w:w="6096"/>
        <w:gridCol w:w="1874"/>
      </w:tblGrid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Characters"/>
                <w:rStyle w:val="FootnoteAnchor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extBody"/>
              <w:autoSpaceDE w:val="false"/>
              <w:snapToGrid w:val="false"/>
              <w:spacing w:before="0" w:after="0"/>
              <w:rPr>
                <w:rFonts w:ascii="Calibri;sans-serif" w:hAnsi="Calibri;sans-serif"/>
                <w:b w:val="false"/>
                <w:i w:val="false"/>
                <w:caps w:val="false"/>
                <w:smallCaps w:val="false"/>
                <w:sz w:val="22"/>
                <w:lang w:val="pl-PL"/>
              </w:rPr>
            </w:pPr>
            <w:r>
              <w:rPr>
                <w:rFonts w:ascii="Calibri;sans-serif" w:hAnsi="Calibri;sans-serif"/>
                <w:b w:val="false"/>
                <w:i w:val="false"/>
                <w:caps w:val="false"/>
                <w:smallCaps w:val="false"/>
                <w:sz w:val="22"/>
                <w:lang w:val="pl-PL"/>
              </w:rPr>
              <w:t>Ma uporządkowaną wiedzę podstawową z zakresu wiedzy o komunikacji. Ma podstawową wiedzę o głównych kierunkach rozwoju i najważniejszych nowych osiągnięciach w zakresie komunikacji międzykulturowej.</w:t>
            </w:r>
          </w:p>
          <w:p>
            <w:pPr>
              <w:pStyle w:val="TextBody"/>
              <w:autoSpaceDE w:val="false"/>
              <w:snapToGrid w:val="false"/>
              <w:spacing w:before="0" w:after="0"/>
              <w:rPr>
                <w:rFonts w:ascii="Calibri;sans-serif" w:hAnsi="Calibri;sans-serif"/>
                <w:b w:val="false"/>
                <w:i w:val="false"/>
                <w:caps w:val="false"/>
                <w:smallCaps w:val="false"/>
                <w:sz w:val="22"/>
                <w:lang w:val="pl-PL"/>
              </w:rPr>
            </w:pPr>
            <w:r>
              <w:rPr>
                <w:rFonts w:ascii="Calibri;sans-serif" w:hAnsi="Calibri;sans-serif"/>
                <w:b w:val="false"/>
                <w:i w:val="false"/>
                <w:caps w:val="false"/>
                <w:smallCaps w:val="false"/>
                <w:sz w:val="22"/>
                <w:lang w:val="pl-PL"/>
              </w:rPr>
            </w:r>
          </w:p>
          <w:p>
            <w:pPr>
              <w:pStyle w:val="Normal"/>
              <w:autoSpaceDE w:val="false"/>
              <w:snapToGrid w:val="false"/>
              <w:spacing w:before="0" w:after="0"/>
              <w:rPr>
                <w:rFonts w:ascii="Arial CE" w:hAnsi="Arial CE" w:eastAsia="Arial CE" w:cs="Arial CE"/>
              </w:rPr>
            </w:pPr>
            <w:r>
              <w:rPr>
                <w:rFonts w:eastAsia="Arial CE" w:cs="Arial CE" w:ascii="Arial CE" w:hAnsi="Arial CE"/>
                <w:b w:val="false"/>
                <w:caps w:val="false"/>
                <w:smallCaps w:val="false"/>
                <w:sz w:val="20"/>
                <w:szCs w:val="20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extBody"/>
              <w:autoSpaceDE w:val="false"/>
              <w:snapToGrid w:val="false"/>
              <w:spacing w:before="0" w:after="0"/>
              <w:rPr>
                <w:rFonts w:ascii="Arial CE" w:hAnsi="Arial CE" w:eastAsia="Arial CE" w:cs="Arial CE"/>
                <w:b w:val="false"/>
                <w:b w:val="false"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Arial CE" w:cs="Arial CE" w:ascii="Arial CE" w:hAnsi="Arial CE"/>
                <w:b w:val="false"/>
                <w:caps w:val="false"/>
                <w:smallCaps w:val="false"/>
                <w:sz w:val="20"/>
                <w:szCs w:val="20"/>
              </w:rPr>
              <w:t xml:space="preserve">K_W03 K_W05 </w:t>
            </w:r>
          </w:p>
          <w:p>
            <w:pPr>
              <w:pStyle w:val="Normal"/>
              <w:autoSpaceDE w:val="false"/>
              <w:snapToGrid w:val="false"/>
              <w:spacing w:before="0" w:after="0"/>
              <w:rPr>
                <w:rFonts w:ascii="Arial CE" w:hAnsi="Arial CE" w:eastAsia="Arial CE" w:cs="Arial CE"/>
                <w:b w:val="false"/>
                <w:b w:val="false"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Arial CE" w:cs="Arial CE" w:ascii="Arial CE" w:hAnsi="Arial CE"/>
                <w:b w:val="false"/>
                <w:caps w:val="false"/>
                <w:smallCaps w:val="false"/>
                <w:sz w:val="20"/>
                <w:szCs w:val="20"/>
              </w:rPr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extBody"/>
              <w:autoSpaceDE w:val="false"/>
              <w:snapToGrid w:val="false"/>
              <w:spacing w:before="0" w:after="0"/>
              <w:rPr>
                <w:rFonts w:ascii="Arial CE" w:hAnsi="Arial CE" w:eastAsia="Arial CE" w:cs="Arial CE"/>
                <w:b w:val="false"/>
                <w:b w:val="false"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Arial CE" w:cs="Arial CE" w:ascii="Arial CE" w:hAnsi="Arial CE"/>
                <w:b w:val="false"/>
                <w:caps w:val="false"/>
                <w:smallCaps w:val="false"/>
                <w:sz w:val="20"/>
                <w:szCs w:val="20"/>
              </w:rPr>
              <w:t xml:space="preserve">Potrafi prawidłowo interpretować zjawiska społeczno-kulturowe (kulturowe, polityczne, prawne, ekonomiczne) w zakresie komunikacji międzykulturowej. Posiada umiejętność rozumienia i analizowania zjawisk społecznych. </w:t>
            </w:r>
          </w:p>
          <w:p>
            <w:pPr>
              <w:pStyle w:val="TextBody"/>
              <w:autoSpaceDE w:val="false"/>
              <w:snapToGrid w:val="false"/>
              <w:spacing w:before="0" w:after="0"/>
              <w:rPr>
                <w:rFonts w:ascii="Arial CE" w:hAnsi="Arial CE" w:eastAsia="Arial CE" w:cs="Arial CE"/>
              </w:rPr>
            </w:pPr>
            <w:r>
              <w:rPr>
                <w:rFonts w:eastAsia="Arial CE" w:cs="Arial CE" w:ascii="Arial CE" w:hAnsi="Arial CE"/>
                <w:b w:val="false"/>
                <w:caps w:val="false"/>
                <w:smallCaps w:val="false"/>
                <w:sz w:val="20"/>
                <w:szCs w:val="20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extBody"/>
              <w:autoSpaceDE w:val="false"/>
              <w:snapToGrid w:val="false"/>
              <w:spacing w:before="0" w:after="0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K_U11 K_U13 </w:t>
            </w:r>
          </w:p>
          <w:p>
            <w:pPr>
              <w:pStyle w:val="Normal"/>
              <w:autoSpaceDE w:val="false"/>
              <w:snapToGrid w:val="false"/>
              <w:spacing w:before="0" w:after="0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extBody"/>
              <w:autoSpaceDE w:val="false"/>
              <w:snapToGrid w:val="false"/>
              <w:spacing w:before="0" w:after="0"/>
              <w:rPr>
                <w:rFonts w:ascii="Arial CE" w:hAnsi="Arial CE"/>
                <w:b w:val="false"/>
                <w:caps w:val="false"/>
                <w:smallCaps w:val="false"/>
                <w:sz w:val="20"/>
              </w:rPr>
            </w:pPr>
            <w:r>
              <w:rPr>
                <w:rFonts w:eastAsia="Arial CE" w:cs="Arial CE" w:ascii="Arial CE" w:hAnsi="Arial CE"/>
                <w:b w:val="false"/>
                <w:i w:val="false"/>
                <w:caps w:val="false"/>
                <w:smallCaps w:val="false"/>
                <w:sz w:val="22"/>
                <w:lang w:val="pl-PL"/>
              </w:rPr>
              <w:t>Rozumie potrzebę samodzielnego pogłębiania wiedzy o komunikacji międzykulturowej. Potrafi kooperować.</w:t>
            </w:r>
          </w:p>
          <w:p>
            <w:pPr>
              <w:pStyle w:val="Normal"/>
              <w:autoSpaceDE w:val="false"/>
              <w:snapToGrid w:val="false"/>
              <w:spacing w:before="0" w:after="0"/>
              <w:rPr>
                <w:rFonts w:ascii="Arial CE" w:hAnsi="Arial CE" w:eastAsia="Arial CE" w:cs="Arial CE"/>
                <w:i w:val="false"/>
                <w:sz w:val="22"/>
                <w:lang w:val="pl-PL"/>
              </w:rPr>
            </w:pPr>
            <w:r>
              <w:rPr>
                <w:rFonts w:ascii="Arial CE" w:hAnsi="Arial CE"/>
                <w:b w:val="false"/>
                <w:caps w:val="false"/>
                <w:smallCaps w:val="false"/>
                <w:sz w:val="20"/>
              </w:rPr>
            </w:r>
          </w:p>
          <w:p>
            <w:pPr>
              <w:pStyle w:val="Normal"/>
              <w:autoSpaceDE w:val="false"/>
              <w:snapToGrid w:val="false"/>
              <w:spacing w:before="0" w:after="0"/>
              <w:rPr>
                <w:rFonts w:ascii="Arial CE" w:hAnsi="Arial CE" w:eastAsia="Arial CE" w:cs="Arial CE"/>
              </w:rPr>
            </w:pPr>
            <w:r>
              <w:rPr>
                <w:rFonts w:eastAsia="Arial CE" w:cs="Arial CE" w:ascii="Arial CE" w:hAnsi="Arial CE"/>
                <w:b w:val="false"/>
                <w:caps w:val="false"/>
                <w:smallCaps w:val="false"/>
                <w:sz w:val="20"/>
                <w:szCs w:val="20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extBody"/>
              <w:autoSpaceDE w:val="false"/>
              <w:snapToGrid w:val="false"/>
              <w:spacing w:before="0" w:after="0"/>
              <w:rPr>
                <w:rFonts w:ascii="Arial CE" w:hAnsi="Arial CE" w:eastAsia="Arial CE" w:cs="Arial CE"/>
                <w:b w:val="false"/>
                <w:b w:val="false"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Arial CE" w:cs="Arial CE" w:ascii="Arial CE" w:hAnsi="Arial CE"/>
                <w:b w:val="false"/>
                <w:caps w:val="false"/>
                <w:smallCaps w:val="false"/>
                <w:sz w:val="20"/>
                <w:szCs w:val="20"/>
              </w:rPr>
              <w:t xml:space="preserve">K_K01 K_K02 </w:t>
            </w:r>
          </w:p>
          <w:p>
            <w:pPr>
              <w:pStyle w:val="Normal"/>
              <w:autoSpaceDE w:val="false"/>
              <w:snapToGrid w:val="false"/>
              <w:spacing w:before="0" w:after="0"/>
              <w:rPr>
                <w:rFonts w:ascii="Arial CE" w:hAnsi="Arial CE" w:eastAsia="Arial CE" w:cs="Arial CE"/>
                <w:b w:val="false"/>
                <w:b w:val="false"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Arial CE" w:cs="Arial CE" w:ascii="Arial CE" w:hAnsi="Arial CE"/>
                <w:b w:val="false"/>
                <w:caps w:val="false"/>
                <w:smallCaps w:val="false"/>
                <w:sz w:val="20"/>
                <w:szCs w:val="20"/>
              </w:rPr>
            </w:r>
          </w:p>
        </w:tc>
      </w:tr>
      <w:tr>
        <w:trPr/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unktygwne"/>
              <w:spacing w:before="0" w:after="0"/>
              <w:rPr/>
            </w:pPr>
            <w:r>
              <w:rPr/>
            </w: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autoSpaceDE w:val="false"/>
              <w:snapToGrid w:val="false"/>
              <w:spacing w:before="0" w:after="0"/>
              <w:rPr>
                <w:rFonts w:ascii="Arial CE" w:hAnsi="Arial CE" w:eastAsia="Arial CE" w:cs="Arial CE"/>
                <w:b w:val="false"/>
                <w:b w:val="false"/>
                <w:caps w:val="false"/>
                <w:smallCaps w:val="false"/>
                <w:sz w:val="20"/>
                <w:szCs w:val="20"/>
              </w:rPr>
            </w:pPr>
            <w:r>
              <w:rPr>
                <w:rFonts w:eastAsia="Arial CE" w:cs="Arial CE" w:ascii="Arial CE" w:hAnsi="Arial CE"/>
                <w:b w:val="false"/>
                <w:caps w:val="false"/>
                <w:smallCaps w:val="false"/>
                <w:sz w:val="20"/>
                <w:szCs w:val="20"/>
              </w:rPr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autoSpaceDE w:val="false"/>
              <w:snapToGrid w:val="false"/>
              <w:spacing w:before="0" w:after="0"/>
              <w:rPr>
                <w:rFonts w:ascii="Arial CE" w:hAnsi="Arial CE" w:eastAsia="Arial CE" w:cs="Arial CE"/>
                <w:sz w:val="20"/>
                <w:szCs w:val="2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ListParagraph"/>
        <w:spacing w:lineRule="auto" w:line="240"/>
        <w:ind w:left="426" w:hanging="0"/>
        <w:jc w:val="both"/>
        <w:rPr>
          <w:rFonts w:ascii="Corbel" w:hAnsi="Corbel"/>
          <w:b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contextualSpacing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>
      <w:pPr>
        <w:pStyle w:val="ListParagraph"/>
        <w:spacing w:lineRule="auto" w:line="240" w:before="0" w:after="120"/>
        <w:ind w:left="1080" w:hanging="0"/>
        <w:contextualSpacing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639" w:type="dxa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639"/>
      </w:tblGrid>
      <w:tr>
        <w:trPr/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-250" w:firstLine="250"/>
              <w:contextualSpacing/>
              <w:rPr>
                <w:rFonts w:ascii="Corbel" w:hAnsi="Corbel"/>
                <w:b w:val="false"/>
                <w:i w:val="false"/>
                <w:caps w:val="false"/>
                <w:smallCaps w:val="false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extBody"/>
              <w:autoSpaceDE w:val="false"/>
              <w:spacing w:lineRule="auto" w:line="240" w:before="0" w:after="0"/>
              <w:ind w:left="-250" w:firstLine="250"/>
              <w:contextualSpacing/>
              <w:rPr>
                <w:rFonts w:ascii="Times New Roman" w:hAnsi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 CE" w:cs="Arial CE" w:ascii="Times New Roman" w:hAnsi="Times New Roman"/>
                <w:b w:val="false"/>
                <w:bCs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  <w:t>Uprzedzenia i stereotyp</w:t>
            </w:r>
            <w:r>
              <w:rPr>
                <w:rFonts w:eastAsia="Arial CE" w:cs="Arial CE" w:ascii="Times New Roman" w:hAnsi="Times New Roman"/>
                <w:b w:val="false"/>
                <w:bCs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  <w:t>ie</w:t>
            </w:r>
            <w:r>
              <w:rPr>
                <w:rFonts w:eastAsia="Arial CE" w:cs="Arial CE" w:ascii="Times New Roman" w:hAnsi="Times New Roman"/>
                <w:b w:val="false"/>
                <w:bCs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  <w:t xml:space="preserve"> dotyczące grup obcych, „</w:t>
            </w:r>
            <w:r>
              <w:rPr>
                <w:rFonts w:eastAsia="Arial CE" w:cs="Arial CE" w:ascii="Times New Roman" w:hAnsi="Times New Roman"/>
                <w:b w:val="false"/>
                <w:bCs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  <w:t xml:space="preserve">różnica kulturowa” (społeczna, dystansu, poznawcza, </w:t>
            </w:r>
            <w:r>
              <w:rPr>
                <w:rFonts w:eastAsia="Arial CE" w:cs="Arial CE" w:ascii="Times New Roman" w:hAnsi="Times New Roman"/>
                <w:b w:val="false"/>
                <w:bCs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  <w:t xml:space="preserve">bias </w:t>
            </w:r>
            <w:r>
              <w:rPr>
                <w:rFonts w:eastAsia="Arial CE" w:cs="Arial CE" w:ascii="Times New Roman" w:hAnsi="Times New Roman"/>
                <w:b w:val="false"/>
                <w:bCs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  <w:t>etc.)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extBody"/>
              <w:autoSpaceDE w:val="false"/>
              <w:spacing w:lineRule="auto" w:line="240" w:before="0" w:after="0"/>
              <w:ind w:left="-250" w:firstLine="250"/>
              <w:contextualSpacing/>
              <w:rPr>
                <w:rFonts w:ascii="Times New Roman" w:hAnsi="Times New Roman" w:eastAsia="Arial CE" w:cs="Arial CE"/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 CE" w:cs="Arial CE" w:ascii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>Narcyzm kulturowy, e</w:t>
            </w:r>
            <w:r>
              <w:rPr>
                <w:rFonts w:eastAsia="Arial CE" w:cs="Arial CE" w:ascii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tnocentryzm, </w:t>
            </w:r>
            <w:r>
              <w:rPr>
                <w:rFonts w:eastAsia="Arial CE" w:cs="Arial CE" w:ascii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>niepewna tożsamośc grupowa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autoSpaceDE w:val="false"/>
              <w:spacing w:lineRule="auto" w:line="240" w:before="0" w:after="0"/>
              <w:ind w:left="-250" w:firstLine="250"/>
              <w:contextualSpacing/>
              <w:rPr>
                <w:rFonts w:ascii="Times New Roman" w:hAnsi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 CE" w:cs="Arial CE" w:ascii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>Efekty pochodne (</w:t>
            </w:r>
            <w:r>
              <w:rPr>
                <w:rFonts w:eastAsia="Arial CE" w:cs="Arial CE" w:ascii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Niewłaściwa interpretacja zachowania niewerbalnego; </w:t>
            </w: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 xml:space="preserve">Niepoprawne odczytanie znaków językowych, </w:t>
            </w:r>
            <w:r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  <w:t>rola dialektów i socjolektów</w:t>
            </w:r>
            <w:r>
              <w:rPr>
                <w:rFonts w:eastAsia="Arial CE" w:cs="Arial CE" w:ascii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>)</w:t>
            </w:r>
          </w:p>
        </w:tc>
      </w:tr>
      <w:tr>
        <w:trPr/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extBody"/>
              <w:autoSpaceDE w:val="false"/>
              <w:spacing w:lineRule="auto" w:line="240" w:before="0" w:after="0"/>
              <w:ind w:left="-250" w:firstLine="250"/>
              <w:contextualSpacing/>
              <w:rPr>
                <w:rFonts w:ascii="Times New Roman" w:hAnsi="Times New Roman" w:eastAsia="Arial CE" w:cs="Arial CE"/>
                <w:b w:val="false"/>
                <w:b w:val="false"/>
                <w:bCs w:val="false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 CE" w:cs="Arial CE" w:ascii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>Problematyka symboli w komunikacji i rytuał interakcyjny, ukryte zasady interakcji, granice interakcyjne</w:t>
            </w:r>
          </w:p>
        </w:tc>
      </w:tr>
      <w:tr>
        <w:trPr/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extBody"/>
              <w:autoSpaceDE w:val="false"/>
              <w:spacing w:lineRule="auto" w:line="240" w:before="0" w:after="0"/>
              <w:ind w:left="-250" w:firstLine="250"/>
              <w:contextualSpacing/>
              <w:rPr>
                <w:rFonts w:ascii="Times New Roman" w:hAnsi="Times New Roman" w:eastAsia="Arial CE" w:cs="Arial CE"/>
                <w:b w:val="false"/>
                <w:b/>
                <w:bCs/>
                <w:i w:val="false"/>
                <w:i w:val="false"/>
                <w:iCs w:val="false"/>
                <w:caps w:val="false"/>
                <w:smallCaps w:val="false"/>
                <w:sz w:val="22"/>
                <w:szCs w:val="22"/>
                <w:lang w:val="pl-PL"/>
              </w:rPr>
            </w:pPr>
            <w:r>
              <w:rPr>
                <w:rFonts w:eastAsia="Arial CE" w:cs="Arial CE" w:ascii="Times New Roman" w:hAnsi="Times New Roman"/>
                <w:b w:val="false"/>
                <w:bCs/>
                <w:i w:val="false"/>
                <w:iCs w:val="false"/>
                <w:caps w:val="false"/>
                <w:smallCaps w:val="false"/>
                <w:sz w:val="22"/>
                <w:szCs w:val="22"/>
                <w:lang w:val="pl-PL"/>
              </w:rPr>
              <w:t xml:space="preserve">Rytuały symboliczne i ich rola – wartości, zasady, </w:t>
            </w:r>
            <w:r>
              <w:rPr>
                <w:rFonts w:eastAsia="Arial CE" w:cs="Arial CE" w:ascii="Times New Roman" w:hAnsi="Times New Roman"/>
                <w:b w:val="false"/>
                <w:bCs/>
                <w:i w:val="false"/>
                <w:iCs w:val="false"/>
                <w:caps w:val="false"/>
                <w:smallCaps w:val="false"/>
                <w:sz w:val="22"/>
                <w:szCs w:val="22"/>
                <w:lang w:val="pl-PL"/>
              </w:rPr>
              <w:t>interakcje</w:t>
            </w:r>
          </w:p>
        </w:tc>
      </w:tr>
      <w:tr>
        <w:trPr/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extBody"/>
              <w:autoSpaceDE w:val="false"/>
              <w:spacing w:lineRule="auto" w:line="240" w:before="0" w:after="0"/>
              <w:ind w:left="-250" w:firstLine="250"/>
              <w:contextualSpacing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  <w:t>Rola projekcji w problemach komunikacyjnych i Znaczenie warstw intencjonalności</w:t>
            </w:r>
          </w:p>
          <w:p>
            <w:pPr>
              <w:pStyle w:val="TextBody"/>
              <w:autoSpaceDE w:val="false"/>
              <w:spacing w:lineRule="auto" w:line="240" w:before="0" w:after="0"/>
              <w:ind w:left="-250" w:hanging="0"/>
              <w:contextualSpacing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r>
          </w:p>
        </w:tc>
      </w:tr>
      <w:tr>
        <w:trPr/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TextBody"/>
              <w:autoSpaceDE w:val="false"/>
              <w:spacing w:lineRule="auto" w:line="240" w:before="0" w:after="0"/>
              <w:ind w:left="-250" w:firstLine="250"/>
              <w:contextualSpacing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  <w:t>Projekcje i stereotypie (zajęcia aktywne)</w:t>
            </w:r>
          </w:p>
          <w:p>
            <w:pPr>
              <w:pStyle w:val="TextBody"/>
              <w:autoSpaceDE w:val="false"/>
              <w:spacing w:lineRule="auto" w:line="240" w:before="0" w:after="0"/>
              <w:ind w:left="-250" w:firstLine="250"/>
              <w:contextualSpacing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>
      <w:pPr>
        <w:pStyle w:val="ListParagraph"/>
        <w:spacing w:lineRule="auto" w:line="24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639" w:type="dxa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639"/>
      </w:tblGrid>
      <w:tr>
        <w:trPr/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708" w:hanging="708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left="426" w:hanging="0"/>
        <w:rPr>
          <w:rFonts w:ascii="Corbel" w:hAnsi="Corbel"/>
          <w:b w:val="false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</w:p>
    <w:p>
      <w:pPr>
        <w:pStyle w:val="Punktygwne"/>
        <w:spacing w:before="0" w:after="0"/>
        <w:rPr>
          <w:rFonts w:ascii="Corbel" w:hAnsi="Corbel"/>
          <w:b w:val="false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false"/>
          <w:caps w:val="false"/>
          <w:smallCaps w:val="false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b w:val="false"/>
          <w:i/>
          <w:i/>
          <w:caps w:val="false"/>
          <w:smallCaps w:val="false"/>
          <w:sz w:val="20"/>
          <w:szCs w:val="20"/>
        </w:rPr>
      </w:pP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 xml:space="preserve">Wykład: </w:t>
      </w:r>
      <w:r>
        <w:rPr>
          <w:rFonts w:ascii="Corbel" w:hAnsi="Corbel"/>
          <w:b w:val="false"/>
          <w:i/>
          <w:caps w:val="false"/>
          <w:smallCaps w:val="false"/>
          <w:sz w:val="20"/>
          <w:szCs w:val="20"/>
          <w:u w:val="single"/>
        </w:rPr>
        <w:t>wykład problemowy</w:t>
      </w: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 xml:space="preserve">, wykład z prezentacją multimedialną, metody kształcenia na odległość 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b w:val="false"/>
          <w:i/>
          <w:i/>
          <w:caps w:val="false"/>
          <w:smallCaps w:val="false"/>
          <w:sz w:val="20"/>
          <w:szCs w:val="20"/>
        </w:rPr>
      </w:pP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 xml:space="preserve">Ćwiczenia: </w:t>
      </w:r>
      <w:r>
        <w:rPr>
          <w:rFonts w:ascii="Corbel" w:hAnsi="Corbel"/>
          <w:b w:val="false"/>
          <w:i/>
          <w:caps w:val="false"/>
          <w:smallCaps w:val="false"/>
          <w:sz w:val="20"/>
          <w:szCs w:val="20"/>
          <w:u w:val="single"/>
        </w:rPr>
        <w:t>analiza tekstów z dyskusją</w:t>
      </w: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 xml:space="preserve">, metoda projektów(projekt badawczy, wdrożeniowy, praktyczny), </w:t>
      </w:r>
      <w:r>
        <w:rPr>
          <w:rFonts w:ascii="Corbel" w:hAnsi="Corbel"/>
          <w:b w:val="false"/>
          <w:i/>
          <w:caps w:val="false"/>
          <w:smallCaps w:val="false"/>
          <w:sz w:val="20"/>
          <w:szCs w:val="20"/>
          <w:u w:val="single"/>
        </w:rPr>
        <w:t>praca w grupach</w:t>
      </w: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 xml:space="preserve"> (rozwiązywanie zadań, dyskusja),gry dydaktyczne, metody kształcenia na odległość </w:t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b w:val="false"/>
          <w:i/>
          <w:i/>
          <w:caps w:val="false"/>
          <w:smallCaps w:val="false"/>
          <w:sz w:val="20"/>
          <w:szCs w:val="20"/>
        </w:rPr>
      </w:pP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>Laboratorium: wykonywanie doświadczeń, projektowanie doświadczeń</w:t>
      </w:r>
    </w:p>
    <w:p>
      <w:pPr>
        <w:pStyle w:val="Punktygwne"/>
        <w:spacing w:before="0" w:after="0"/>
        <w:rPr>
          <w:rFonts w:ascii="Corbel" w:hAnsi="Corbel"/>
          <w:b w:val="false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tabs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 METODY I KRYTERIA OCENY</w:t>
      </w:r>
    </w:p>
    <w:p>
      <w:pPr>
        <w:pStyle w:val="Punktygwne"/>
        <w:tabs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 w:hanging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9639" w:type="dxa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984"/>
        <w:gridCol w:w="5528"/>
        <w:gridCol w:w="2127"/>
      </w:tblGrid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sie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Forma zajęć dydaktycznych 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szCs w:val="24"/>
              </w:rPr>
              <w:t xml:space="preserve">Ek_ 01 - </w:t>
            </w:r>
            <w:r>
              <w:rPr>
                <w:rFonts w:ascii="Corbel" w:hAnsi="Corbel"/>
                <w:b w:val="false"/>
                <w:szCs w:val="24"/>
              </w:rPr>
              <w:t>EK_0</w:t>
            </w:r>
            <w:r>
              <w:rPr>
                <w:rFonts w:ascii="Corbel" w:hAnsi="Corbel"/>
                <w:b w:val="false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b w:val="false"/>
                <w:strike w:val="false"/>
                <w:dstrike w:val="false"/>
                <w:szCs w:val="24"/>
              </w:rPr>
            </w:pPr>
            <w:r>
              <w:rPr>
                <w:rFonts w:ascii="Corbel" w:hAnsi="Corbel"/>
                <w:b w:val="false"/>
                <w:strike w:val="false"/>
                <w:dstrike w:val="false"/>
                <w:szCs w:val="24"/>
              </w:rPr>
              <w:t xml:space="preserve">Aktywna dyskusja, </w:t>
            </w:r>
            <w:r>
              <w:rPr>
                <w:rFonts w:ascii="Corbel" w:hAnsi="Corbel"/>
                <w:b w:val="false"/>
                <w:strike w:val="false"/>
                <w:dstrike w:val="false"/>
                <w:szCs w:val="24"/>
              </w:rPr>
              <w:t xml:space="preserve"> mikroesej finalny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W (m)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b w:val="false"/>
                <w:szCs w:val="24"/>
              </w:rPr>
            </w:pPr>
            <w:r>
              <w:rPr/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 w:hanging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4.2 Warunki zaliczenia przedmiotu (kryteria oceniania)</w:t>
      </w:r>
    </w:p>
    <w:p>
      <w:pPr>
        <w:pStyle w:val="Punktygwne"/>
        <w:spacing w:before="0" w:after="0"/>
        <w:ind w:left="426" w:hanging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9670" w:type="dxa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670"/>
      </w:tblGrid>
      <w:tr>
        <w:trPr/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napToGrid w:val="false"/>
              <w:ind w:left="720" w:right="0" w:hanging="0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Wykonanie wszystkich wyznaczonych zadań wraz z aktywnością na zajęciach jest</w:t>
            </w:r>
          </w:p>
          <w:p>
            <w:pPr>
              <w:pStyle w:val="Normal"/>
              <w:numPr>
                <w:ilvl w:val="0"/>
                <w:numId w:val="0"/>
              </w:numPr>
              <w:snapToGrid w:val="false"/>
              <w:ind w:left="720" w:right="0" w:hanging="0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podstawa zaliczenia przedmiotu.</w:t>
            </w:r>
          </w:p>
          <w:p>
            <w:pPr>
              <w:pStyle w:val="Normal"/>
              <w:numPr>
                <w:ilvl w:val="0"/>
                <w:numId w:val="0"/>
              </w:numPr>
              <w:snapToGrid w:val="false"/>
              <w:ind w:left="720" w:right="0" w:hanging="0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Aktywne uczestnictwo w zajęciach:30%</w:t>
            </w:r>
          </w:p>
          <w:p>
            <w:pPr>
              <w:pStyle w:val="Normal"/>
              <w:numPr>
                <w:ilvl w:val="0"/>
                <w:numId w:val="0"/>
              </w:numPr>
              <w:snapToGrid w:val="false"/>
              <w:ind w:left="720" w:right="0" w:hanging="0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Zadania: 40%</w:t>
            </w:r>
          </w:p>
          <w:p>
            <w:pPr>
              <w:pStyle w:val="Normal"/>
              <w:numPr>
                <w:ilvl w:val="0"/>
                <w:numId w:val="0"/>
              </w:numPr>
              <w:snapToGrid w:val="false"/>
              <w:spacing w:before="0" w:after="200"/>
              <w:ind w:left="720" w:right="0" w:hanging="0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Esej finalny:30%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left="284" w:hanging="284"/>
        <w:jc w:val="both"/>
        <w:rPr>
          <w:rFonts w:ascii="Corbel" w:hAnsi="Corbel"/>
          <w:b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9639" w:type="dxa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962"/>
        <w:gridCol w:w="4676"/>
      </w:tblGrid>
      <w:tr>
        <w:trPr/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Corbel" w:hAnsi="Corbel"/>
                <w:b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center"/>
              <w:rPr>
                <w:rFonts w:ascii="Corbel" w:hAnsi="Corbel"/>
                <w:b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/>
              <w:t>z harmonogramu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 xml:space="preserve"> (i wedle potrzeb)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orbel" w:hAnsi="Corbel"/>
                <w:b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contextualSpacing/>
              <w:rPr>
                <w:rFonts w:ascii="Corbel" w:hAnsi="Corbel"/>
                <w:b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>
      <w:pPr>
        <w:pStyle w:val="Punktygwne"/>
        <w:spacing w:before="0" w:after="0"/>
        <w:ind w:left="426" w:hanging="0"/>
        <w:rPr>
          <w:rFonts w:ascii="Corbel" w:hAnsi="Corbel"/>
          <w:b w:val="false"/>
          <w:b w:val="false"/>
          <w:i/>
          <w:i/>
          <w:caps w:val="false"/>
          <w:smallCaps w:val="false"/>
          <w:szCs w:val="24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left="360" w:hanging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3" w:type="dxa"/>
        <w:jc w:val="lef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543"/>
        <w:gridCol w:w="3969"/>
      </w:tblGrid>
      <w:tr>
        <w:trPr>
          <w:trHeight w:val="397" w:hRule="atLeast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r>
          </w:p>
        </w:tc>
      </w:tr>
      <w:tr>
        <w:trPr>
          <w:trHeight w:val="397" w:hRule="atLeast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r>
          </w:p>
        </w:tc>
      </w:tr>
    </w:tbl>
    <w:p>
      <w:pPr>
        <w:pStyle w:val="Punktygwne"/>
        <w:spacing w:before="0" w:after="0"/>
        <w:ind w:left="360" w:hanging="0"/>
        <w:rPr>
          <w:rFonts w:ascii="Corbel" w:hAnsi="Corbel"/>
          <w:b w:val="false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7. LITERATURA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3" w:type="dxa"/>
        <w:jc w:val="lef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513"/>
      </w:tblGrid>
      <w:tr>
        <w:trPr>
          <w:trHeight w:val="397" w:hRule="atLeast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podstawowa:</w:t>
            </w:r>
          </w:p>
          <w:p>
            <w:pPr>
              <w:pStyle w:val="TextBody"/>
              <w:numPr>
                <w:ilvl w:val="0"/>
                <w:numId w:val="0"/>
              </w:numPr>
              <w:autoSpaceDE w:val="false"/>
              <w:ind w:left="720" w:hang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</w:rPr>
              <w:t xml:space="preserve">Morreale S. P.,  Spitzberg B. H.,  Barge J. K. 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</w:rPr>
              <w:t>(2007)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</w:rPr>
              <w:t>, Komunikacja między ludźmi. Motywacja, wiedza i umiejętności, przekł. P. Izdebski, A. Jaworska, D. Kobylińska, PWN, Warszawa</w:t>
            </w:r>
          </w:p>
          <w:p>
            <w:pPr>
              <w:pStyle w:val="TextBody"/>
              <w:numPr>
                <w:ilvl w:val="0"/>
                <w:numId w:val="0"/>
              </w:numPr>
              <w:autoSpaceDE w:val="false"/>
              <w:ind w:left="720" w:hang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  <w:t xml:space="preserve">Winkin Y., (2007), </w:t>
            </w:r>
            <w:r>
              <w:rPr>
                <w:rFonts w:eastAsia="Arial CE" w:cs="Arial CE" w:ascii="Times New Roman" w:hAnsi="Times New Roman"/>
                <w:b w:val="false"/>
                <w:i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  <w:t>Antropologia komunikacji. Od teorii do badań terenowych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  <w:t>, tł. A. Karpowicz, wst. W. Burszta, Wydawnictwo Uniwersytetu Warszawskiego, Warszawa</w:t>
            </w:r>
          </w:p>
          <w:p>
            <w:pPr>
              <w:pStyle w:val="TextBody"/>
              <w:numPr>
                <w:ilvl w:val="0"/>
                <w:numId w:val="0"/>
              </w:numPr>
              <w:autoSpaceDE w:val="false"/>
              <w:spacing w:before="0" w:after="120"/>
              <w:ind w:left="720" w:hanging="0"/>
              <w:rPr>
                <w:rFonts w:ascii="Calibri;sans-serif" w:hAnsi="Calibri;sans-serif" w:eastAsia="Arial CE" w:cs="Arial CE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4"/>
                <w:szCs w:val="20"/>
                <w:lang w:val="pl-PL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Literatura uzupełniająca: </w:t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Arial CE" w:hAnsi="Arial CE" w:eastAsia="Arial CE" w:cs="Arial CE"/>
                <w:b w:val="false"/>
                <w:i w:val="false"/>
                <w:iCs w:val="false"/>
                <w:color w:val="auto"/>
                <w:sz w:val="20"/>
                <w:szCs w:val="20"/>
              </w:rPr>
            </w:pPr>
            <w:r>
              <w:rPr>
                <w:rFonts w:ascii="Calibri;sans-serif" w:hAnsi="Calibri;sans-serif"/>
                <w:b w:val="false"/>
                <w:i w:val="false"/>
                <w:caps w:val="false"/>
                <w:smallCaps w:val="false"/>
                <w:sz w:val="22"/>
                <w:lang w:val="pl-PL"/>
              </w:rPr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Arial CE" w:hAnsi="Arial CE" w:eastAsia="Arial CE" w:cs="Arial CE"/>
                <w:b w:val="false"/>
                <w:i w:val="false"/>
                <w:iCs w:val="false"/>
                <w:color w:val="auto"/>
                <w:sz w:val="20"/>
                <w:szCs w:val="20"/>
              </w:rPr>
            </w:pPr>
            <w:r>
              <w:rPr>
                <w:rFonts w:ascii="Calibri;sans-serif" w:hAnsi="Calibri;sans-serif"/>
                <w:b w:val="false"/>
                <w:i w:val="false"/>
                <w:caps w:val="false"/>
                <w:smallCaps w:val="false"/>
                <w:sz w:val="22"/>
                <w:lang w:val="pl-PL"/>
              </w:rPr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pP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>Goffman E., (2007) Pietno. Rozważania o zranionej tożsamości, tł. A. Dzierżynska, J. Tokarska-Bakir, wstęp: J. Tokarska-Bakir, Gdańsk</w:t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pP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>Grudzińska I., (2004) Podejrzane pochodzenie jako kategoria kultury polskiej (w:) Inna, Inny, Inne. O inności w kulturze, (red:) M. Janion, Cl. Snochowska-Gonzales, K. Szczuka, Warszawa</w:t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pP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>Mazur J. (Red), (2004) Rytualizacja w komunikacji społecznej i interkulturowej, Lublin</w:t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 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Fox 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>R.K.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, 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(2011) 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Przejrzeć Anglików. Ukryte zasady angielskiego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zachowania, Warszawa. </w:t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Bator </w:t>
            </w:r>
            <w:r>
              <w:rPr>
                <w:rFonts w:ascii="Times New Roman" w:hAnsi="Times New Roman"/>
                <w:sz w:val="22"/>
                <w:szCs w:val="22"/>
              </w:rPr>
              <w:t>J.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(2004)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Japoński wachlarz, Warszawa. </w:t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Zalewski </w:t>
            </w:r>
            <w:r>
              <w:rPr>
                <w:rFonts w:ascii="Times New Roman" w:hAnsi="Times New Roman"/>
                <w:sz w:val="22"/>
                <w:szCs w:val="22"/>
              </w:rPr>
              <w:t>T.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(2011) </w:t>
            </w:r>
            <w:r>
              <w:rPr>
                <w:rFonts w:ascii="Times New Roman" w:hAnsi="Times New Roman"/>
                <w:sz w:val="22"/>
                <w:szCs w:val="22"/>
              </w:rPr>
              <w:t>Inne Stany. Czym różnią się od nas Amerykanie, Warszawa.</w:t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pP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>Zizek S., (2001) Przekleństwo fantazji, tł A. Chmielewski W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>r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>ocław</w:t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pP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D. Matsumoto, L. Juang, 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>(2007)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 Psychologia międzykulturowa, przekł. A. Nowak, GWP, Gdańsk</w:t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pP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de Lazari  A.(red.) (2006) 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Katalog wzajemnych uprzedzeń Polaków i Rosjan, , PISM, Warszawa 2006. </w:t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pP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Głażewska 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>E.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, Kusio 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>U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, 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(2012) 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Komunikacja niewerbalna. Płeć i kultura. Wybór zagadnień, Wydaw. Uniw. UMCS, Lublin. </w:t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pP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Mikułowski 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J 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Pomorski, 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(2012) 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Jak narody porozumiewają się ze sobą w komunikacji międzykulturowej i komunikowaniu medialnym, Universitas, Kraków, wyd. II uzup. </w:t>
            </w:r>
          </w:p>
          <w:p>
            <w:pPr>
              <w:pStyle w:val="TextBody"/>
              <w:tabs>
                <w:tab w:val="left" w:pos="0" w:leader="none"/>
              </w:tabs>
              <w:autoSpaceDE w:val="false"/>
              <w:spacing w:lineRule="atLeast" w:line="261"/>
              <w:ind w:left="707" w:right="0" w:hanging="283"/>
              <w:jc w:val="left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pP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Burszta W., (1998) </w:t>
            </w:r>
            <w:r>
              <w:rPr>
                <w:rFonts w:eastAsia="Arial CE" w:cs="Arial CE" w:ascii="Times New Roman" w:hAnsi="Times New Roman"/>
                <w:b w:val="false"/>
                <w:i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>Antropologia kultury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>, Zysk-Ska, Poznań</w:t>
            </w:r>
          </w:p>
          <w:p>
            <w:pPr>
              <w:pStyle w:val="TextBody"/>
              <w:tabs>
                <w:tab w:val="left" w:pos="0" w:leader="none"/>
              </w:tabs>
              <w:autoSpaceDE w:val="false"/>
              <w:spacing w:lineRule="atLeast" w:line="261"/>
              <w:ind w:left="707" w:right="0" w:hanging="283"/>
              <w:jc w:val="left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pP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Condon, John., (1981) </w:t>
            </w:r>
            <w:r>
              <w:rPr>
                <w:rFonts w:eastAsia="Arial CE" w:cs="Arial CE" w:ascii="Times New Roman" w:hAnsi="Times New Roman"/>
                <w:b w:val="false"/>
                <w:i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>Values and Ethics in Communication Across Cultures: Some Notes on the North American Case,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 „Communication” 6 s. 255-65</w:t>
            </w:r>
          </w:p>
          <w:p>
            <w:pPr>
              <w:pStyle w:val="TextBody"/>
              <w:tabs>
                <w:tab w:val="left" w:pos="0" w:leader="none"/>
              </w:tabs>
              <w:autoSpaceDE w:val="false"/>
              <w:spacing w:lineRule="atLeast" w:line="261"/>
              <w:ind w:left="707" w:right="0" w:hanging="283"/>
              <w:jc w:val="left"/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sz w:val="22"/>
                <w:szCs w:val="22"/>
                <w:lang w:val="pl-PL"/>
              </w:rPr>
            </w:pP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 xml:space="preserve">Geertz Cl., (2003) </w:t>
            </w:r>
            <w:r>
              <w:rPr>
                <w:rFonts w:eastAsia="Arial CE" w:cs="Arial CE" w:ascii="Times New Roman" w:hAnsi="Times New Roman"/>
                <w:b w:val="false"/>
                <w:i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>Zastane światło, antropologiczne refleksje na tematy filozoficzne</w:t>
            </w:r>
            <w:r>
              <w:rPr>
                <w:rFonts w:eastAsia="Arial CE" w:cs="Arial CE" w:ascii="Times New Roman" w:hAnsi="Times New Roman"/>
                <w:b w:val="false"/>
                <w:i w:val="false"/>
                <w:iCs w:val="false"/>
                <w:caps w:val="false"/>
                <w:smallCaps w:val="false"/>
                <w:color w:val="auto"/>
                <w:sz w:val="22"/>
                <w:szCs w:val="22"/>
                <w:lang w:val="pl-PL"/>
              </w:rPr>
              <w:t>, tł. i wstęp Z. Pucek, Kraków </w:t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Arial CE" w:hAnsi="Arial CE" w:eastAsia="Arial CE" w:cs="Arial CE"/>
                <w:b w:val="false"/>
                <w:i w:val="false"/>
                <w:iCs w:val="false"/>
                <w:color w:val="auto"/>
                <w:sz w:val="20"/>
                <w:szCs w:val="20"/>
              </w:rPr>
            </w:pPr>
            <w:r>
              <w:rPr>
                <w:rFonts w:ascii="Calibri;sans-serif" w:hAnsi="Calibri;sans-serif"/>
                <w:b w:val="false"/>
                <w:i w:val="false"/>
                <w:caps w:val="false"/>
                <w:smallCaps w:val="false"/>
                <w:sz w:val="22"/>
                <w:lang w:val="pl-PL"/>
              </w:rPr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Arial CE" w:hAnsi="Arial CE" w:eastAsia="Arial CE" w:cs="Arial CE"/>
                <w:b w:val="false"/>
                <w:i w:val="false"/>
                <w:iCs w:val="false"/>
                <w:color w:val="auto"/>
                <w:sz w:val="20"/>
                <w:szCs w:val="20"/>
              </w:rPr>
            </w:pPr>
            <w:r>
              <w:rPr>
                <w:rFonts w:ascii="Calibri;sans-serif" w:hAnsi="Calibri;sans-serif"/>
                <w:b w:val="false"/>
                <w:i w:val="false"/>
                <w:caps w:val="false"/>
                <w:smallCaps w:val="false"/>
                <w:sz w:val="22"/>
                <w:lang w:val="pl-PL"/>
              </w:rPr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Arial CE" w:hAnsi="Arial CE" w:eastAsia="Arial CE" w:cs="Arial CE"/>
                <w:b w:val="false"/>
                <w:i w:val="false"/>
                <w:iCs w:val="false"/>
                <w:color w:val="auto"/>
                <w:sz w:val="20"/>
                <w:szCs w:val="20"/>
              </w:rPr>
            </w:pPr>
            <w:r>
              <w:rPr>
                <w:rFonts w:ascii="Calibri;sans-serif" w:hAnsi="Calibri;sans-serif"/>
                <w:b w:val="false"/>
                <w:i w:val="false"/>
                <w:caps w:val="false"/>
                <w:smallCaps w:val="false"/>
                <w:sz w:val="22"/>
                <w:lang w:val="pl-PL"/>
              </w:rPr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Arial CE" w:hAnsi="Arial CE" w:eastAsia="Arial CE" w:cs="Arial CE"/>
                <w:b w:val="false"/>
                <w:i w:val="false"/>
                <w:iCs w:val="false"/>
                <w:color w:val="auto"/>
                <w:sz w:val="20"/>
                <w:szCs w:val="20"/>
              </w:rPr>
            </w:pPr>
            <w:r>
              <w:rPr>
                <w:rFonts w:ascii="Calibri;sans-serif" w:hAnsi="Calibri;sans-serif"/>
                <w:b w:val="false"/>
                <w:i w:val="false"/>
                <w:caps w:val="false"/>
                <w:smallCaps w:val="false"/>
                <w:sz w:val="22"/>
                <w:lang w:val="pl-PL"/>
              </w:rPr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Arial CE" w:hAnsi="Arial CE" w:eastAsia="Arial CE" w:cs="Arial CE"/>
                <w:b w:val="false"/>
                <w:i w:val="false"/>
                <w:iCs w:val="false"/>
                <w:color w:val="auto"/>
                <w:sz w:val="20"/>
                <w:szCs w:val="20"/>
              </w:rPr>
            </w:pPr>
            <w:r>
              <w:rPr>
                <w:rFonts w:ascii="Calibri;sans-serif" w:hAnsi="Calibri;sans-serif"/>
                <w:b w:val="false"/>
                <w:i w:val="false"/>
                <w:caps w:val="false"/>
                <w:smallCaps w:val="false"/>
                <w:sz w:val="22"/>
                <w:lang w:val="pl-PL"/>
              </w:rPr>
            </w:r>
          </w:p>
          <w:p>
            <w:pPr>
              <w:pStyle w:val="TextBody"/>
              <w:autoSpaceDE w:val="false"/>
              <w:ind w:left="720" w:right="0" w:hanging="360"/>
              <w:rPr>
                <w:rFonts w:ascii="Arial CE" w:hAnsi="Arial CE" w:eastAsia="Arial CE" w:cs="Arial CE"/>
                <w:b w:val="false"/>
                <w:i w:val="false"/>
                <w:iCs w:val="false"/>
                <w:color w:val="auto"/>
                <w:sz w:val="20"/>
                <w:szCs w:val="20"/>
              </w:rPr>
            </w:pPr>
            <w:r>
              <w:rPr>
                <w:rFonts w:ascii="Calibri;sans-serif" w:hAnsi="Calibri;sans-serif"/>
                <w:b w:val="false"/>
                <w:i w:val="false"/>
                <w:caps w:val="false"/>
                <w:smallCaps w:val="false"/>
                <w:sz w:val="22"/>
                <w:lang w:val="pl-PL"/>
              </w:rPr>
            </w:r>
          </w:p>
          <w:p>
            <w:pPr>
              <w:pStyle w:val="TextBody"/>
              <w:spacing w:lineRule="atLeast" w:line="261"/>
              <w:ind w:left="0" w:right="0" w:hanging="0"/>
              <w:jc w:val="left"/>
              <w:rPr>
                <w:b w:val="false"/>
                <w:i w:val="false"/>
                <w:caps w:val="false"/>
                <w:smallCaps w:val="false"/>
                <w:lang w:val="pl-PL"/>
              </w:rPr>
            </w:pPr>
            <w:r>
              <w:rPr>
                <w:rFonts w:ascii="Calibri;sans-serif" w:hAnsi="Calibri;sans-serif"/>
                <w:b/>
                <w:i w:val="false"/>
                <w:caps w:val="false"/>
                <w:smallCaps w:val="false"/>
                <w:sz w:val="24"/>
                <w:lang w:val="pl-PL"/>
              </w:rPr>
              <w:t>Uwaga:</w:t>
            </w:r>
            <w:r>
              <w:rPr>
                <w:b w:val="false"/>
                <w:i w:val="false"/>
                <w:caps w:val="false"/>
                <w:smallCaps w:val="false"/>
                <w:lang w:val="pl-PL"/>
              </w:rPr>
              <w:t xml:space="preserve"> </w:t>
            </w:r>
            <w:r>
              <w:rPr>
                <w:rFonts w:ascii="Calibri;sans-serif" w:hAnsi="Calibri;sans-serif"/>
                <w:b w:val="false"/>
                <w:i w:val="false"/>
                <w:caps w:val="false"/>
                <w:smallCaps w:val="false"/>
                <w:sz w:val="24"/>
                <w:lang w:val="pl-PL"/>
              </w:rPr>
              <w:t>kurs obejmuje materiały online wskazane przez prowadzącego oraz swobodnie dobierane przez uczestników.</w:t>
            </w:r>
          </w:p>
          <w:p>
            <w:pPr>
              <w:pStyle w:val="Normal"/>
              <w:numPr>
                <w:ilvl w:val="0"/>
                <w:numId w:val="0"/>
              </w:numPr>
              <w:autoSpaceDE w:val="false"/>
              <w:spacing w:before="0" w:after="200"/>
              <w:ind w:left="1080" w:right="0" w:hanging="0"/>
              <w:rPr>
                <w:rFonts w:ascii="Arial CE" w:hAnsi="Arial CE" w:eastAsia="Arial CE" w:cs="Arial CE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color w:val="auto"/>
                <w:sz w:val="20"/>
                <w:szCs w:val="20"/>
              </w:rPr>
            </w:pPr>
            <w:r>
              <w:rPr/>
            </w:r>
          </w:p>
        </w:tc>
      </w:tr>
    </w:tbl>
    <w:p>
      <w:pPr>
        <w:pStyle w:val="Punktygwne"/>
        <w:spacing w:before="0" w:after="0"/>
        <w:ind w:left="360" w:hanging="0"/>
        <w:rPr>
          <w:rFonts w:ascii="Corbel" w:hAnsi="Corbel"/>
          <w:b w:val="false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 w:hanging="0"/>
        <w:rPr>
          <w:rFonts w:ascii="Corbel" w:hAnsi="Corbel"/>
          <w:b w:val="false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 w:hanging="0"/>
        <w:rPr/>
      </w:pPr>
      <w:r>
        <w:rPr>
          <w:rFonts w:ascii="Corbel" w:hAnsi="Corbel"/>
          <w:b w:val="false"/>
          <w:caps w:val="false"/>
          <w:smallCaps w:val="false"/>
          <w:szCs w:val="24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Arial CE">
    <w:charset w:val="ee"/>
    <w:family w:val="swiss"/>
    <w:pitch w:val="default"/>
  </w:font>
  <w:font w:name="Arial CE">
    <w:charset w:val="ee"/>
    <w:family w:val="swiss"/>
    <w:pitch w:val="variable"/>
  </w:font>
  <w:font w:name="OpenSymbol">
    <w:altName w:val="Arial Unicode MS"/>
    <w:charset w:val="02"/>
    <w:family w:val="auto"/>
    <w:pitch w:val="default"/>
  </w:font>
  <w:font w:name="Calibri">
    <w:altName w:val="sans-serif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  <w:font w:name="Corbel">
    <w:charset w:val="01"/>
    <w:family w:val="roman"/>
    <w:pitch w:val="variable"/>
  </w:font>
  <w:font w:name="Corbel">
    <w:charset w:val="01"/>
    <w:family w:val="swiss"/>
    <w:pitch w:val="variable"/>
  </w:font>
  <w:font w:name="MS Gothic">
    <w:charset w:val="01"/>
    <w:family w:val="roman"/>
    <w:pitch w:val="variable"/>
  </w:font>
  <w:font w:name="Arial CE">
    <w:charset w:val="01"/>
    <w:family w:val="swiss"/>
    <w:pitch w:val="default"/>
  </w:font>
  <w:font w:name="Calibri">
    <w:altName w:val="sans-serif"/>
    <w:charset w:val="01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"/>
        <w:rPr/>
      </w:pPr>
      <w:r>
        <w:rPr>
          <w:rStyle w:val="FootnoteCharacters"/>
        </w:rPr>
        <w:footnoteRef/>
      </w:r>
      <w:r>
        <w:rPr>
          <w:rStyle w:val="FootnoteCharacters"/>
        </w:rPr>
        <w:tab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i w:val="false"/>
        <w:szCs w:val="20"/>
        <w:iCs w:val="false"/>
        <w:rFonts w:ascii="Arial CE" w:hAnsi="Arial CE" w:eastAsia="Arial CE" w:cs="Arial C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i w:val="false"/>
        <w:szCs w:val="20"/>
        <w:iCs w:val="false"/>
        <w:rFonts w:ascii="Arial CE" w:hAnsi="Arial CE" w:eastAsia="Arial CE" w:cs="Arial C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d66e9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ytuZnak" w:customStyle="1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styleId="TekstdymkaZnak" w:customStyle="1">
    <w:name w:val="Tekst dymka Znak"/>
    <w:link w:val="Tekstdymka"/>
    <w:uiPriority w:val="99"/>
    <w:semiHidden/>
    <w:qFormat/>
    <w:rsid w:val="00cf78ed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link w:val="Nagwek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StopkaZnak" w:customStyle="1">
    <w:name w:val="Stopka Znak"/>
    <w:link w:val="Stopka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styleId="FootnoteAnchor">
    <w:name w:val="Footnote Anchor"/>
    <w:rPr>
      <w:vertAlign w:val="superscript"/>
    </w:rPr>
  </w:style>
  <w:style w:type="character" w:styleId="TekstpodstawowyZnak" w:customStyle="1">
    <w:name w:val="Tekst podstawowy Znak"/>
    <w:link w:val="Tekstpodstawowy"/>
    <w:uiPriority w:val="99"/>
    <w:semiHidden/>
    <w:qFormat/>
    <w:rsid w:val="0085747a"/>
    <w:rPr>
      <w:rFonts w:ascii="Calibri" w:hAnsi="Calibri" w:eastAsia="Calibri"/>
      <w:sz w:val="22"/>
      <w:szCs w:val="22"/>
    </w:rPr>
  </w:style>
  <w:style w:type="character" w:styleId="Pagenumber">
    <w:name w:val="page number"/>
    <w:basedOn w:val="DefaultParagraphFont"/>
    <w:semiHidden/>
    <w:qFormat/>
    <w:rsid w:val="0085747a"/>
    <w:rPr/>
  </w:style>
  <w:style w:type="character" w:styleId="InternetLink">
    <w:name w:val="Internet Link"/>
    <w:uiPriority w:val="99"/>
    <w:unhideWhenUsed/>
    <w:rsid w:val="00b819c8"/>
    <w:rPr>
      <w:color w:val="0000FF"/>
      <w:u w:val="single"/>
    </w:rPr>
  </w:style>
  <w:style w:type="character" w:styleId="WW8Num2z0">
    <w:name w:val="WW8Num2z0"/>
    <w:qFormat/>
    <w:rPr>
      <w:rFonts w:ascii="Arial CE" w:hAnsi="Arial CE" w:eastAsia="Arial CE" w:cs="Arial CE"/>
      <w:i w:val="false"/>
      <w:iCs w:val="false"/>
      <w:sz w:val="20"/>
      <w:szCs w:val="20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Arial CE" w:hAnsi="Arial CE" w:eastAsia="Arial CE" w:cs="Arial CE"/>
      <w:i w:val="false"/>
      <w:iCs w:val="false"/>
      <w:sz w:val="20"/>
      <w:szCs w:val="20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EndnoteAnchor">
    <w:name w:val="Endnote Anchor"/>
    <w:rPr>
      <w:vertAlign w:val="superscript"/>
    </w:rPr>
  </w:style>
  <w:style w:type="character" w:styleId="EndnoteCharacters">
    <w:name w:val="Endnote Characters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ListLabel3">
    <w:name w:val="ListLabel 3"/>
    <w:qFormat/>
    <w:rPr>
      <w:rFonts w:ascii="Calibri;sans-serif" w:hAnsi="Calibri;sans-serif" w:cs="OpenSymbol"/>
      <w:b w:val="false"/>
      <w:sz w:val="22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</w:rPr>
  </w:style>
  <w:style w:type="character" w:styleId="ListLabel11">
    <w:name w:val="ListLabel 11"/>
    <w:qFormat/>
    <w:rPr>
      <w:rFonts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link w:val="TekstpodstawowyZnak"/>
    <w:uiPriority w:val="99"/>
    <w:semiHidden/>
    <w:unhideWhenUsed/>
    <w:rsid w:val="0085747a"/>
    <w:pPr>
      <w:spacing w:before="0" w:after="12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bd66e9"/>
    <w:pPr>
      <w:spacing w:before="0" w:after="200"/>
      <w:ind w:left="720" w:hanging="0"/>
      <w:contextualSpacing/>
    </w:pPr>
    <w:rPr/>
  </w:style>
  <w:style w:type="paragraph" w:styleId="Title">
    <w:name w:val="Title"/>
    <w:basedOn w:val="Normal"/>
    <w:link w:val="TytuZnak"/>
    <w:qFormat/>
    <w:rsid w:val="00bd66e9"/>
    <w:pPr>
      <w:spacing w:lineRule="auto" w:line="240" w:before="0" w:after="0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f78e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NagwekZnak"/>
    <w:uiPriority w:val="99"/>
    <w:unhideWhenUsed/>
    <w:rsid w:val="00c16abf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c16abf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85747a"/>
    <w:pPr>
      <w:widowControl/>
      <w:bidi w:val="0"/>
      <w:jc w:val="left"/>
    </w:pPr>
    <w:rPr>
      <w:rFonts w:ascii="Arial" w:hAnsi="Arial" w:cs="Arial" w:eastAsia="Calibri"/>
      <w:color w:val="000000"/>
      <w:kern w:val="0"/>
      <w:sz w:val="24"/>
      <w:szCs w:val="24"/>
      <w:lang w:eastAsia="en-US" w:val="pl-PL" w:bidi="ar-SA"/>
    </w:rPr>
  </w:style>
  <w:style w:type="paragraph" w:styleId="Footnote">
    <w:name w:val="Footnote Text"/>
    <w:basedOn w:val="Normal"/>
    <w:link w:val="TekstprzypisudolnegoZnak"/>
    <w:uiPriority w:val="99"/>
    <w:semiHidden/>
    <w:unhideWhenUsed/>
    <w:rsid w:val="0085747a"/>
    <w:pPr>
      <w:spacing w:lineRule="auto" w:line="240" w:before="0" w:after="0"/>
    </w:pPr>
    <w:rPr>
      <w:sz w:val="20"/>
      <w:szCs w:val="20"/>
    </w:rPr>
  </w:style>
  <w:style w:type="paragraph" w:styleId="Punktygwne" w:customStyle="1">
    <w:name w:val="Punkty główne"/>
    <w:basedOn w:val="Normal"/>
    <w:qFormat/>
    <w:rsid w:val="0085747a"/>
    <w:pPr>
      <w:spacing w:lineRule="auto" w:line="240" w:before="240" w:after="60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xtBody"/>
    <w:qFormat/>
    <w:rsid w:val="0085747a"/>
    <w:pPr>
      <w:tabs>
        <w:tab w:val="left" w:pos="-5643" w:leader="none"/>
      </w:tabs>
      <w:overflowPunct w:val="true"/>
      <w:spacing w:lineRule="auto" w:line="240" w:before="40" w:after="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"/>
    <w:qFormat/>
    <w:rsid w:val="0085747a"/>
    <w:pPr>
      <w:spacing w:lineRule="auto" w:line="240" w:before="40" w:after="40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xtBody"/>
    <w:qFormat/>
    <w:rsid w:val="0085747a"/>
    <w:pPr>
      <w:tabs>
        <w:tab w:val="left" w:pos="-5814" w:leader="none"/>
      </w:tabs>
      <w:overflowPunct w:val="true"/>
      <w:spacing w:lineRule="auto" w:line="240" w:before="0" w:after="0"/>
      <w:ind w:left="360" w:hanging="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xtBody"/>
    <w:qFormat/>
    <w:rsid w:val="0085747a"/>
    <w:pPr>
      <w:tabs>
        <w:tab w:val="left" w:pos="-5814" w:leader="none"/>
        <w:tab w:val="left" w:pos="720" w:leader="none"/>
      </w:tabs>
      <w:overflowPunct w:val="true"/>
      <w:spacing w:lineRule="auto" w:line="240" w:before="120" w:after="0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xtBody"/>
    <w:uiPriority w:val="99"/>
    <w:qFormat/>
    <w:rsid w:val="0085747a"/>
    <w:pPr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"/>
    <w:qFormat/>
    <w:rsid w:val="0085747a"/>
    <w:pPr>
      <w:tabs>
        <w:tab w:val="left" w:pos="-5814" w:leader="none"/>
      </w:tabs>
      <w:overflowPunct w:val="true"/>
      <w:spacing w:lineRule="auto" w:line="240" w:before="40" w:after="40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oSpacing">
    <w:name w:val="No Spacing"/>
    <w:uiPriority w:val="1"/>
    <w:qFormat/>
    <w:rsid w:val="00c61dc5"/>
    <w:pPr>
      <w:widowControl/>
      <w:bidi w:val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pl-PL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numbering" w:styleId="WW8Num3">
    <w:name w:val="WW8Num3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18098-44B2-4FA5-8502-20614524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</TotalTime>
  <Application>LibreOffice/6.0.7.3$Linux_X86_64 LibreOffice_project/00m0$Build-3</Application>
  <Pages>6</Pages>
  <Words>868</Words>
  <Characters>6037</Characters>
  <CharactersWithSpaces>6805</CharactersWithSpaces>
  <Paragraphs>148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2020-10-21T18:58:00Z</dcterms:created>
  <dc:creator>User</dc:creator>
  <dc:description/>
  <dc:language>pl-PL</dc:language>
  <cp:lastModifiedBy>Adam Kubiak</cp:lastModifiedBy>
  <cp:lastPrinted>2019-02-06T12:12:00Z</cp:lastPrinted>
  <dcterms:modified xsi:type="dcterms:W3CDTF">2022-12-07T22:36:24Z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